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5F" w:rsidRDefault="007B538D" w:rsidP="00244981">
      <w:pPr>
        <w:pStyle w:val="berschrift1"/>
        <w:spacing w:before="0" w:after="0" w:line="276" w:lineRule="auto"/>
        <w:jc w:val="left"/>
      </w:pPr>
      <w:r w:rsidRPr="007B538D">
        <w:t>TCM 180i: Der Edeltechniker</w:t>
      </w:r>
      <w:r>
        <w:t xml:space="preserve"> </w:t>
      </w:r>
    </w:p>
    <w:p w:rsidR="002E765F" w:rsidRPr="00A80677" w:rsidRDefault="002E765F" w:rsidP="002E765F">
      <w:pPr>
        <w:pStyle w:val="Text"/>
      </w:pPr>
    </w:p>
    <w:p w:rsidR="002E765F" w:rsidRPr="007B538D" w:rsidRDefault="005B2D6E" w:rsidP="005B2D6E">
      <w:pPr>
        <w:pStyle w:val="Text"/>
        <w:spacing w:line="276" w:lineRule="auto"/>
        <w:rPr>
          <w:b/>
          <w:iCs/>
        </w:rPr>
      </w:pPr>
      <w:r w:rsidRPr="005B2D6E">
        <w:rPr>
          <w:rStyle w:val="Hervorhebung"/>
        </w:rPr>
        <w:t>Beim zwe</w:t>
      </w:r>
      <w:r>
        <w:rPr>
          <w:rStyle w:val="Hervorhebung"/>
        </w:rPr>
        <w:t xml:space="preserve">ilagigen Betoneinbau auf der A7 </w:t>
      </w:r>
      <w:r w:rsidRPr="005B2D6E">
        <w:rPr>
          <w:rStyle w:val="Hervorhebung"/>
        </w:rPr>
        <w:t>übernimmt der W</w:t>
      </w:r>
      <w:r w:rsidR="000A4BC0">
        <w:rPr>
          <w:rStyle w:val="Hervorhebung"/>
        </w:rPr>
        <w:t>irtgen</w:t>
      </w:r>
      <w:r w:rsidRPr="005B2D6E">
        <w:rPr>
          <w:rStyle w:val="Hervorhebung"/>
        </w:rPr>
        <w:t xml:space="preserve"> Einbauzug – </w:t>
      </w:r>
      <w:r w:rsidR="000A4BC0">
        <w:rPr>
          <w:rStyle w:val="Hervorhebung"/>
        </w:rPr>
        <w:t xml:space="preserve">aus </w:t>
      </w:r>
      <w:r w:rsidRPr="005B2D6E">
        <w:rPr>
          <w:rStyle w:val="Hervorhebung"/>
        </w:rPr>
        <w:t>2</w:t>
      </w:r>
      <w:r>
        <w:rPr>
          <w:rStyle w:val="Hervorhebung"/>
        </w:rPr>
        <w:t xml:space="preserve"> </w:t>
      </w:r>
      <w:proofErr w:type="spellStart"/>
      <w:r>
        <w:rPr>
          <w:rStyle w:val="Hervorhebung"/>
        </w:rPr>
        <w:t>Gleitschalungsfertiger</w:t>
      </w:r>
      <w:r w:rsidR="000A4BC0">
        <w:rPr>
          <w:rStyle w:val="Hervorhebung"/>
        </w:rPr>
        <w:t>n</w:t>
      </w:r>
      <w:proofErr w:type="spellEnd"/>
      <w:r>
        <w:rPr>
          <w:rStyle w:val="Hervorhebung"/>
        </w:rPr>
        <w:t xml:space="preserve"> SP 1500 </w:t>
      </w:r>
      <w:r w:rsidRPr="005B2D6E">
        <w:rPr>
          <w:rStyle w:val="Hervorhebung"/>
        </w:rPr>
        <w:t>und d</w:t>
      </w:r>
      <w:r w:rsidR="000A4BC0">
        <w:rPr>
          <w:rStyle w:val="Hervorhebung"/>
        </w:rPr>
        <w:t>em</w:t>
      </w:r>
      <w:r w:rsidRPr="005B2D6E">
        <w:rPr>
          <w:rStyle w:val="Hervorhebung"/>
        </w:rPr>
        <w:t xml:space="preserve"> Nachbehandlungsgerät TCM 180i – die Spielmacher-Rolle.</w:t>
      </w:r>
    </w:p>
    <w:p w:rsidR="00244981" w:rsidRDefault="00244981" w:rsidP="00244981">
      <w:pPr>
        <w:pStyle w:val="Text"/>
        <w:spacing w:line="276" w:lineRule="auto"/>
        <w:rPr>
          <w:noProof/>
          <w:lang w:eastAsia="de-DE"/>
        </w:rPr>
      </w:pPr>
    </w:p>
    <w:p w:rsidR="007B538D" w:rsidRDefault="007B538D" w:rsidP="007B538D">
      <w:pPr>
        <w:pStyle w:val="Text"/>
        <w:spacing w:line="276" w:lineRule="auto"/>
        <w:rPr>
          <w:rStyle w:val="Hervorhebung"/>
          <w:b w:val="0"/>
        </w:rPr>
      </w:pPr>
      <w:r w:rsidRPr="007B538D">
        <w:rPr>
          <w:rStyle w:val="Hervorhebung"/>
          <w:b w:val="0"/>
        </w:rPr>
        <w:t xml:space="preserve">Um die A7 als leistungsfähige </w:t>
      </w:r>
      <w:r>
        <w:rPr>
          <w:rStyle w:val="Hervorhebung"/>
          <w:b w:val="0"/>
        </w:rPr>
        <w:t xml:space="preserve">Verkehrsverbindung zu erhalten, </w:t>
      </w:r>
      <w:r w:rsidRPr="007B538D">
        <w:rPr>
          <w:rStyle w:val="Hervorhebung"/>
          <w:b w:val="0"/>
        </w:rPr>
        <w:t>wird sie zwischen Hamburg und Bordesho</w:t>
      </w:r>
      <w:r>
        <w:rPr>
          <w:rStyle w:val="Hervorhebung"/>
          <w:b w:val="0"/>
        </w:rPr>
        <w:t xml:space="preserve">lm von vier Asphaltfahrstreifen </w:t>
      </w:r>
      <w:r w:rsidRPr="007B538D">
        <w:rPr>
          <w:rStyle w:val="Hervorhebung"/>
          <w:b w:val="0"/>
        </w:rPr>
        <w:t>auf sechs und teilwei</w:t>
      </w:r>
      <w:r>
        <w:rPr>
          <w:rStyle w:val="Hervorhebung"/>
          <w:b w:val="0"/>
        </w:rPr>
        <w:t xml:space="preserve">se acht Fahrstreifen erweitert. </w:t>
      </w:r>
      <w:r w:rsidRPr="007B538D">
        <w:rPr>
          <w:rStyle w:val="Hervorhebung"/>
          <w:b w:val="0"/>
        </w:rPr>
        <w:t>Zur Erzielung eines hohen Fahrkomforts unter Berücksichtigung</w:t>
      </w:r>
      <w:r w:rsidR="00AE2001">
        <w:rPr>
          <w:rStyle w:val="Hervorhebung"/>
          <w:b w:val="0"/>
        </w:rPr>
        <w:t xml:space="preserve"> </w:t>
      </w:r>
      <w:r w:rsidRPr="007B538D">
        <w:rPr>
          <w:rStyle w:val="Hervorhebung"/>
          <w:b w:val="0"/>
        </w:rPr>
        <w:t>der Schwerlastverkehr-B</w:t>
      </w:r>
      <w:r>
        <w:rPr>
          <w:rStyle w:val="Hervorhebung"/>
          <w:b w:val="0"/>
        </w:rPr>
        <w:t xml:space="preserve">elastungen entschieden sich das </w:t>
      </w:r>
      <w:r w:rsidRPr="007B538D">
        <w:rPr>
          <w:rStyle w:val="Hervorhebung"/>
          <w:b w:val="0"/>
        </w:rPr>
        <w:t>Autobahnkonsortium Via Solution</w:t>
      </w:r>
      <w:r>
        <w:rPr>
          <w:rStyle w:val="Hervorhebung"/>
          <w:b w:val="0"/>
        </w:rPr>
        <w:t xml:space="preserve">s Nord und die ARGE A7 Hamburg- </w:t>
      </w:r>
      <w:r w:rsidRPr="007B538D">
        <w:rPr>
          <w:rStyle w:val="Hervorhebung"/>
          <w:b w:val="0"/>
        </w:rPr>
        <w:t xml:space="preserve">Bordesholm bei dem auf </w:t>
      </w:r>
      <w:r>
        <w:rPr>
          <w:rStyle w:val="Hervorhebung"/>
          <w:b w:val="0"/>
        </w:rPr>
        <w:t xml:space="preserve">schleswig-holsteinischem Gebiet </w:t>
      </w:r>
      <w:r w:rsidRPr="007B538D">
        <w:rPr>
          <w:rStyle w:val="Hervorhebung"/>
          <w:b w:val="0"/>
        </w:rPr>
        <w:t>liegenden, 60 km langen Streckenabschnitt für den Ausbau in</w:t>
      </w:r>
      <w:r w:rsidR="00AE2001">
        <w:rPr>
          <w:rStyle w:val="Hervorhebung"/>
          <w:b w:val="0"/>
        </w:rPr>
        <w:t xml:space="preserve"> </w:t>
      </w:r>
      <w:r w:rsidRPr="007B538D">
        <w:rPr>
          <w:rStyle w:val="Hervorhebung"/>
          <w:b w:val="0"/>
        </w:rPr>
        <w:t>bewehrter Betonbauweise mi</w:t>
      </w:r>
      <w:r>
        <w:rPr>
          <w:rStyle w:val="Hervorhebung"/>
          <w:b w:val="0"/>
        </w:rPr>
        <w:t xml:space="preserve">t Waschbetonoberfläche. Die mit </w:t>
      </w:r>
      <w:r w:rsidRPr="007B538D">
        <w:rPr>
          <w:rStyle w:val="Hervorhebung"/>
          <w:b w:val="0"/>
        </w:rPr>
        <w:t>den Arbeiten beauftragte BT Bet</w:t>
      </w:r>
      <w:r>
        <w:rPr>
          <w:rStyle w:val="Hervorhebung"/>
          <w:b w:val="0"/>
        </w:rPr>
        <w:t xml:space="preserve">on-Technik GmbH ist seit vielen </w:t>
      </w:r>
      <w:r w:rsidRPr="007B538D">
        <w:rPr>
          <w:rStyle w:val="Hervorhebung"/>
          <w:b w:val="0"/>
        </w:rPr>
        <w:t>Jahren auf den Betondeckenb</w:t>
      </w:r>
      <w:r>
        <w:rPr>
          <w:rStyle w:val="Hervorhebung"/>
          <w:b w:val="0"/>
        </w:rPr>
        <w:t xml:space="preserve">au spezialisiert. Genauso lange </w:t>
      </w:r>
      <w:r w:rsidRPr="007B538D">
        <w:rPr>
          <w:rStyle w:val="Hervorhebung"/>
          <w:b w:val="0"/>
        </w:rPr>
        <w:t>verlässt sich Geschäftsführer M</w:t>
      </w:r>
      <w:r>
        <w:rPr>
          <w:rStyle w:val="Hervorhebung"/>
          <w:b w:val="0"/>
        </w:rPr>
        <w:t xml:space="preserve">irko </w:t>
      </w:r>
      <w:proofErr w:type="spellStart"/>
      <w:r>
        <w:rPr>
          <w:rStyle w:val="Hervorhebung"/>
          <w:b w:val="0"/>
        </w:rPr>
        <w:t>Pokrajcic</w:t>
      </w:r>
      <w:proofErr w:type="spellEnd"/>
      <w:r>
        <w:rPr>
          <w:rStyle w:val="Hervorhebung"/>
          <w:b w:val="0"/>
        </w:rPr>
        <w:t xml:space="preserve"> auf Technologien </w:t>
      </w:r>
      <w:r w:rsidRPr="007B538D">
        <w:rPr>
          <w:rStyle w:val="Hervorhebung"/>
          <w:b w:val="0"/>
        </w:rPr>
        <w:t>und Maschinen von W</w:t>
      </w:r>
      <w:r w:rsidR="00AE2001">
        <w:rPr>
          <w:rStyle w:val="Hervorhebung"/>
          <w:b w:val="0"/>
        </w:rPr>
        <w:t>irtgen</w:t>
      </w:r>
      <w:r w:rsidRPr="007B538D">
        <w:rPr>
          <w:rStyle w:val="Hervorhebung"/>
          <w:b w:val="0"/>
        </w:rPr>
        <w:t>:</w:t>
      </w:r>
      <w:r>
        <w:rPr>
          <w:rStyle w:val="Hervorhebung"/>
          <w:b w:val="0"/>
        </w:rPr>
        <w:t xml:space="preserve"> „Ich bestehe auf 100% Qualität </w:t>
      </w:r>
      <w:r w:rsidRPr="007B538D">
        <w:rPr>
          <w:rStyle w:val="Hervorhebung"/>
          <w:b w:val="0"/>
        </w:rPr>
        <w:t>– und genau die liefert uns W</w:t>
      </w:r>
      <w:r w:rsidR="00AE2001">
        <w:rPr>
          <w:rStyle w:val="Hervorhebung"/>
          <w:b w:val="0"/>
        </w:rPr>
        <w:t>irtgen</w:t>
      </w:r>
      <w:r w:rsidRPr="007B538D">
        <w:rPr>
          <w:rStyle w:val="Hervorhebung"/>
          <w:b w:val="0"/>
        </w:rPr>
        <w:t xml:space="preserve"> seit mehr als 25 Jahren.“</w:t>
      </w:r>
    </w:p>
    <w:p w:rsidR="0014683F" w:rsidRPr="0014683F" w:rsidRDefault="0014683F" w:rsidP="0014683F">
      <w:pPr>
        <w:pStyle w:val="Text"/>
        <w:spacing w:line="276" w:lineRule="auto"/>
        <w:rPr>
          <w:rStyle w:val="Hervorhebung"/>
          <w:b w:val="0"/>
        </w:rPr>
      </w:pPr>
    </w:p>
    <w:p w:rsidR="0014683F" w:rsidRPr="0014683F" w:rsidRDefault="007B538D" w:rsidP="0014683F">
      <w:pPr>
        <w:pStyle w:val="Text"/>
        <w:spacing w:line="276" w:lineRule="auto"/>
        <w:rPr>
          <w:rStyle w:val="Hervorhebung"/>
        </w:rPr>
      </w:pPr>
      <w:r w:rsidRPr="007B538D">
        <w:rPr>
          <w:rStyle w:val="Hervorhebung"/>
        </w:rPr>
        <w:t>Anpfiff: Erfolgreich einstudierte Spielzüge</w:t>
      </w:r>
      <w:r>
        <w:rPr>
          <w:rStyle w:val="Hervorhebung"/>
        </w:rPr>
        <w:t xml:space="preserve"> </w:t>
      </w:r>
    </w:p>
    <w:p w:rsidR="007B538D" w:rsidRDefault="007B538D" w:rsidP="007B538D">
      <w:pPr>
        <w:pStyle w:val="Text"/>
        <w:spacing w:line="276" w:lineRule="auto"/>
        <w:rPr>
          <w:rStyle w:val="Hervorhebung"/>
          <w:b w:val="0"/>
        </w:rPr>
      </w:pPr>
      <w:r w:rsidRPr="007B538D">
        <w:rPr>
          <w:rStyle w:val="Hervorhebung"/>
          <w:b w:val="0"/>
        </w:rPr>
        <w:t>Den Betoneinbau übernahmen 2 W</w:t>
      </w:r>
      <w:r w:rsidR="00AE2001">
        <w:rPr>
          <w:rStyle w:val="Hervorhebung"/>
          <w:b w:val="0"/>
        </w:rPr>
        <w:t>irtgen</w:t>
      </w:r>
      <w:r w:rsidRPr="007B538D">
        <w:rPr>
          <w:rStyle w:val="Hervorhebung"/>
          <w:b w:val="0"/>
        </w:rPr>
        <w:t xml:space="preserve"> </w:t>
      </w:r>
      <w:r>
        <w:rPr>
          <w:rStyle w:val="Hervorhebung"/>
          <w:b w:val="0"/>
        </w:rPr>
        <w:t xml:space="preserve">SP 1500 Gleitschalungsfertiger. </w:t>
      </w:r>
      <w:r w:rsidRPr="007B538D">
        <w:rPr>
          <w:rStyle w:val="Hervorhebung"/>
          <w:b w:val="0"/>
        </w:rPr>
        <w:t xml:space="preserve">Die </w:t>
      </w:r>
      <w:proofErr w:type="spellStart"/>
      <w:r w:rsidRPr="007B538D">
        <w:rPr>
          <w:rStyle w:val="Hervorhebung"/>
          <w:b w:val="0"/>
        </w:rPr>
        <w:t>Inset</w:t>
      </w:r>
      <w:proofErr w:type="spellEnd"/>
      <w:r w:rsidRPr="007B538D">
        <w:rPr>
          <w:rStyle w:val="Hervorhebung"/>
          <w:b w:val="0"/>
        </w:rPr>
        <w:t>-Gleitschal</w:t>
      </w:r>
      <w:r>
        <w:rPr>
          <w:rStyle w:val="Hervorhebung"/>
          <w:b w:val="0"/>
        </w:rPr>
        <w:t xml:space="preserve">ung des ersten </w:t>
      </w:r>
      <w:proofErr w:type="spellStart"/>
      <w:r>
        <w:rPr>
          <w:rStyle w:val="Hervorhebung"/>
          <w:b w:val="0"/>
        </w:rPr>
        <w:t>Fertigers</w:t>
      </w:r>
      <w:proofErr w:type="spellEnd"/>
      <w:r>
        <w:rPr>
          <w:rStyle w:val="Hervorhebung"/>
          <w:b w:val="0"/>
        </w:rPr>
        <w:t xml:space="preserve"> formte </w:t>
      </w:r>
      <w:r w:rsidRPr="007B538D">
        <w:rPr>
          <w:rStyle w:val="Hervorhebung"/>
          <w:b w:val="0"/>
        </w:rPr>
        <w:t>dabei die Betondecke während der V</w:t>
      </w:r>
      <w:r>
        <w:rPr>
          <w:rStyle w:val="Hervorhebung"/>
          <w:b w:val="0"/>
        </w:rPr>
        <w:t xml:space="preserve">orwärtsfahrt in der geforderten </w:t>
      </w:r>
      <w:r w:rsidRPr="007B538D">
        <w:rPr>
          <w:rStyle w:val="Hervorhebung"/>
          <w:b w:val="0"/>
        </w:rPr>
        <w:t>Breite von 14,5 m und Dicke von 23 cm. 41 gebogene</w:t>
      </w:r>
      <w:r w:rsidR="007967DB">
        <w:rPr>
          <w:rStyle w:val="Hervorhebung"/>
          <w:b w:val="0"/>
        </w:rPr>
        <w:t xml:space="preserve"> </w:t>
      </w:r>
      <w:r w:rsidRPr="007B538D">
        <w:rPr>
          <w:rStyle w:val="Hervorhebung"/>
          <w:b w:val="0"/>
        </w:rPr>
        <w:t>elektrische Innenrüttler sorgten d</w:t>
      </w:r>
      <w:r>
        <w:rPr>
          <w:rStyle w:val="Hervorhebung"/>
          <w:b w:val="0"/>
        </w:rPr>
        <w:t xml:space="preserve">urch hochfrequente Schwingungen </w:t>
      </w:r>
      <w:r w:rsidRPr="007B538D">
        <w:rPr>
          <w:rStyle w:val="Hervorhebung"/>
          <w:b w:val="0"/>
        </w:rPr>
        <w:t>für eine optimale Ma</w:t>
      </w:r>
      <w:r>
        <w:rPr>
          <w:rStyle w:val="Hervorhebung"/>
          <w:b w:val="0"/>
        </w:rPr>
        <w:t xml:space="preserve">terialverdichtung. Dübel wurden </w:t>
      </w:r>
      <w:r w:rsidRPr="007B538D">
        <w:rPr>
          <w:rStyle w:val="Hervorhebung"/>
          <w:b w:val="0"/>
        </w:rPr>
        <w:t>im Abstand von jeweils 25 cm</w:t>
      </w:r>
      <w:r>
        <w:rPr>
          <w:rStyle w:val="Hervorhebung"/>
          <w:b w:val="0"/>
        </w:rPr>
        <w:t xml:space="preserve"> längs, Anker quer zur Fahrbahn </w:t>
      </w:r>
      <w:r w:rsidRPr="007B538D">
        <w:rPr>
          <w:rStyle w:val="Hervorhebung"/>
          <w:b w:val="0"/>
        </w:rPr>
        <w:t>in den frischen, vorverdichte</w:t>
      </w:r>
      <w:r>
        <w:rPr>
          <w:rStyle w:val="Hervorhebung"/>
          <w:b w:val="0"/>
        </w:rPr>
        <w:t xml:space="preserve">ten Unterbeton eingebracht. Der </w:t>
      </w:r>
      <w:r w:rsidRPr="007B538D">
        <w:rPr>
          <w:rStyle w:val="Hervorhebung"/>
          <w:b w:val="0"/>
        </w:rPr>
        <w:t>Oberbeton wurde zeitgleich per</w:t>
      </w:r>
      <w:r>
        <w:rPr>
          <w:rStyle w:val="Hervorhebung"/>
          <w:b w:val="0"/>
        </w:rPr>
        <w:t xml:space="preserve"> Bagger in den Aufnahmetrichter </w:t>
      </w:r>
      <w:r w:rsidRPr="007B538D">
        <w:rPr>
          <w:rStyle w:val="Hervorhebung"/>
          <w:b w:val="0"/>
        </w:rPr>
        <w:t>des Förderbands verladen, über den erst</w:t>
      </w:r>
      <w:r>
        <w:rPr>
          <w:rStyle w:val="Hervorhebung"/>
          <w:b w:val="0"/>
        </w:rPr>
        <w:t xml:space="preserve">en SP 1500 hinweg transportiert </w:t>
      </w:r>
      <w:r w:rsidRPr="007B538D">
        <w:rPr>
          <w:rStyle w:val="Hervorhebung"/>
          <w:b w:val="0"/>
        </w:rPr>
        <w:t>und direkt auf den Unt</w:t>
      </w:r>
      <w:r>
        <w:rPr>
          <w:rStyle w:val="Hervorhebung"/>
          <w:b w:val="0"/>
        </w:rPr>
        <w:t xml:space="preserve">erbeton vor dem zweiten SP 1500 </w:t>
      </w:r>
      <w:r w:rsidRPr="007B538D">
        <w:rPr>
          <w:rStyle w:val="Hervorhebung"/>
          <w:b w:val="0"/>
        </w:rPr>
        <w:t>abgelegt. Dieser verdichtete da</w:t>
      </w:r>
      <w:r>
        <w:rPr>
          <w:rStyle w:val="Hervorhebung"/>
          <w:b w:val="0"/>
        </w:rPr>
        <w:t xml:space="preserve">s Material mit 29 elektrischen, </w:t>
      </w:r>
      <w:r w:rsidRPr="007B538D">
        <w:rPr>
          <w:rStyle w:val="Hervorhebung"/>
          <w:b w:val="0"/>
        </w:rPr>
        <w:t>sogenannten T-Rüttlern und bau</w:t>
      </w:r>
      <w:r>
        <w:rPr>
          <w:rStyle w:val="Hervorhebung"/>
          <w:b w:val="0"/>
        </w:rPr>
        <w:t xml:space="preserve">te es in 5 cm Schichtdicke ein. </w:t>
      </w:r>
      <w:r w:rsidRPr="007B538D">
        <w:rPr>
          <w:rStyle w:val="Hervorhebung"/>
          <w:b w:val="0"/>
        </w:rPr>
        <w:t>So verbaute das W</w:t>
      </w:r>
      <w:r w:rsidR="00AE2001">
        <w:rPr>
          <w:rStyle w:val="Hervorhebung"/>
          <w:b w:val="0"/>
        </w:rPr>
        <w:t>irtgen</w:t>
      </w:r>
      <w:r w:rsidRPr="007B538D">
        <w:rPr>
          <w:rStyle w:val="Hervorhebung"/>
          <w:b w:val="0"/>
        </w:rPr>
        <w:t xml:space="preserve"> Duo ca. 4.000 m³ Beton täglich.</w:t>
      </w:r>
    </w:p>
    <w:p w:rsidR="007B538D" w:rsidRPr="0014683F" w:rsidRDefault="007B538D" w:rsidP="007B538D">
      <w:pPr>
        <w:pStyle w:val="Text"/>
        <w:spacing w:line="276" w:lineRule="auto"/>
        <w:rPr>
          <w:rStyle w:val="Hervorhebung"/>
          <w:b w:val="0"/>
        </w:rPr>
      </w:pPr>
    </w:p>
    <w:p w:rsidR="007B538D" w:rsidRDefault="007B538D" w:rsidP="007B538D">
      <w:pPr>
        <w:pStyle w:val="Text"/>
        <w:spacing w:line="276" w:lineRule="auto"/>
        <w:rPr>
          <w:rStyle w:val="Hervorhebung"/>
        </w:rPr>
      </w:pPr>
      <w:r w:rsidRPr="007B538D">
        <w:rPr>
          <w:rStyle w:val="Hervorhebung"/>
        </w:rPr>
        <w:t xml:space="preserve">„Man </w:t>
      </w:r>
      <w:proofErr w:type="spellStart"/>
      <w:r w:rsidRPr="007B538D">
        <w:rPr>
          <w:rStyle w:val="Hervorhebung"/>
        </w:rPr>
        <w:t>of</w:t>
      </w:r>
      <w:proofErr w:type="spellEnd"/>
      <w:r w:rsidRPr="007B538D">
        <w:rPr>
          <w:rStyle w:val="Hervorhebung"/>
        </w:rPr>
        <w:t xml:space="preserve"> </w:t>
      </w:r>
      <w:proofErr w:type="spellStart"/>
      <w:r w:rsidRPr="007B538D">
        <w:rPr>
          <w:rStyle w:val="Hervorhebung"/>
        </w:rPr>
        <w:t>the</w:t>
      </w:r>
      <w:proofErr w:type="spellEnd"/>
      <w:r w:rsidRPr="007B538D">
        <w:rPr>
          <w:rStyle w:val="Hervorhebung"/>
        </w:rPr>
        <w:t xml:space="preserve"> Match“</w:t>
      </w:r>
    </w:p>
    <w:p w:rsidR="007B538D" w:rsidRDefault="007B538D" w:rsidP="007B538D">
      <w:pPr>
        <w:pStyle w:val="Text"/>
        <w:spacing w:line="276" w:lineRule="auto"/>
        <w:rPr>
          <w:rStyle w:val="Hervorhebung"/>
          <w:b w:val="0"/>
        </w:rPr>
      </w:pPr>
      <w:r w:rsidRPr="007B538D">
        <w:rPr>
          <w:rStyle w:val="Hervorhebung"/>
          <w:b w:val="0"/>
        </w:rPr>
        <w:t xml:space="preserve">Direkt hinter den </w:t>
      </w:r>
      <w:proofErr w:type="spellStart"/>
      <w:r w:rsidRPr="007B538D">
        <w:rPr>
          <w:rStyle w:val="Hervorhebung"/>
          <w:b w:val="0"/>
        </w:rPr>
        <w:t>Fertigern</w:t>
      </w:r>
      <w:proofErr w:type="spellEnd"/>
      <w:r w:rsidRPr="007B538D">
        <w:rPr>
          <w:rStyle w:val="Hervorhebung"/>
          <w:b w:val="0"/>
        </w:rPr>
        <w:t xml:space="preserve"> f</w:t>
      </w:r>
      <w:r>
        <w:rPr>
          <w:rStyle w:val="Hervorhebung"/>
          <w:b w:val="0"/>
        </w:rPr>
        <w:t xml:space="preserve">olgte Spielmacher Nummer 3, das </w:t>
      </w:r>
      <w:r w:rsidRPr="007B538D">
        <w:rPr>
          <w:rStyle w:val="Hervorhebung"/>
          <w:b w:val="0"/>
        </w:rPr>
        <w:t>selbstfahrende Nachbehandlungsger</w:t>
      </w:r>
      <w:r>
        <w:rPr>
          <w:rStyle w:val="Hervorhebung"/>
          <w:b w:val="0"/>
        </w:rPr>
        <w:t xml:space="preserve">ät TCM 180i. Mit Arbeitsbreiten </w:t>
      </w:r>
      <w:r w:rsidR="000A4BC0">
        <w:rPr>
          <w:rStyle w:val="Hervorhebung"/>
          <w:b w:val="0"/>
        </w:rPr>
        <w:t>bis 18,0 m ist es</w:t>
      </w:r>
      <w:r w:rsidRPr="007B538D">
        <w:rPr>
          <w:rStyle w:val="Hervorhebung"/>
          <w:b w:val="0"/>
        </w:rPr>
        <w:t xml:space="preserve"> der ideale Mi</w:t>
      </w:r>
      <w:r>
        <w:rPr>
          <w:rStyle w:val="Hervorhebung"/>
          <w:b w:val="0"/>
        </w:rPr>
        <w:t xml:space="preserve">tspieler der beiden SP 1500 und </w:t>
      </w:r>
      <w:r w:rsidRPr="007B538D">
        <w:rPr>
          <w:rStyle w:val="Hervorhebung"/>
          <w:b w:val="0"/>
        </w:rPr>
        <w:t>der Edeltechniker im Team. Seine Aufg</w:t>
      </w:r>
      <w:r>
        <w:rPr>
          <w:rStyle w:val="Hervorhebung"/>
          <w:b w:val="0"/>
        </w:rPr>
        <w:t xml:space="preserve">abe: Eine spezielle Kombination </w:t>
      </w:r>
      <w:r w:rsidRPr="007B538D">
        <w:rPr>
          <w:rStyle w:val="Hervorhebung"/>
          <w:b w:val="0"/>
        </w:rPr>
        <w:t xml:space="preserve">aus Verdunstungsschutz und </w:t>
      </w:r>
      <w:proofErr w:type="spellStart"/>
      <w:r w:rsidRPr="007B538D">
        <w:rPr>
          <w:rStyle w:val="Hervorhebung"/>
          <w:b w:val="0"/>
        </w:rPr>
        <w:t>Oberflächenverzögerer</w:t>
      </w:r>
      <w:proofErr w:type="spellEnd"/>
      <w:r w:rsidRPr="007B538D">
        <w:rPr>
          <w:rStyle w:val="Hervorhebung"/>
          <w:b w:val="0"/>
        </w:rPr>
        <w:t xml:space="preserve"> auf die</w:t>
      </w:r>
      <w:r w:rsidR="007C6D62">
        <w:rPr>
          <w:rStyle w:val="Hervorhebung"/>
          <w:b w:val="0"/>
        </w:rPr>
        <w:t xml:space="preserve"> </w:t>
      </w:r>
      <w:r w:rsidRPr="007B538D">
        <w:rPr>
          <w:rStyle w:val="Hervorhebung"/>
          <w:b w:val="0"/>
        </w:rPr>
        <w:t>neue Betondecke sprühen. Der</w:t>
      </w:r>
      <w:r>
        <w:rPr>
          <w:rStyle w:val="Hervorhebung"/>
          <w:b w:val="0"/>
        </w:rPr>
        <w:t xml:space="preserve"> Verdunstungsschutz schützt den </w:t>
      </w:r>
      <w:r w:rsidRPr="007B538D">
        <w:rPr>
          <w:rStyle w:val="Hervorhebung"/>
          <w:b w:val="0"/>
        </w:rPr>
        <w:t>noch frischen Beton in seiner E</w:t>
      </w:r>
      <w:r>
        <w:rPr>
          <w:rStyle w:val="Hervorhebung"/>
          <w:b w:val="0"/>
        </w:rPr>
        <w:t xml:space="preserve">rhärtungsphase vor frühzeitigem </w:t>
      </w:r>
      <w:r w:rsidRPr="007B538D">
        <w:rPr>
          <w:rStyle w:val="Hervorhebung"/>
          <w:b w:val="0"/>
        </w:rPr>
        <w:t xml:space="preserve">Austrocknen. Der </w:t>
      </w:r>
      <w:proofErr w:type="spellStart"/>
      <w:r w:rsidRPr="007B538D">
        <w:rPr>
          <w:rStyle w:val="Hervorhebung"/>
          <w:b w:val="0"/>
        </w:rPr>
        <w:t>Oberflächen</w:t>
      </w:r>
      <w:r>
        <w:rPr>
          <w:rStyle w:val="Hervorhebung"/>
          <w:b w:val="0"/>
        </w:rPr>
        <w:t>verzögerer</w:t>
      </w:r>
      <w:proofErr w:type="spellEnd"/>
      <w:r>
        <w:rPr>
          <w:rStyle w:val="Hervorhebung"/>
          <w:b w:val="0"/>
        </w:rPr>
        <w:t xml:space="preserve"> ermöglicht – je nach </w:t>
      </w:r>
      <w:r w:rsidRPr="007B538D">
        <w:rPr>
          <w:rStyle w:val="Hervorhebung"/>
          <w:b w:val="0"/>
        </w:rPr>
        <w:t xml:space="preserve">Witterung </w:t>
      </w:r>
      <w:r w:rsidR="000A4BC0">
        <w:rPr>
          <w:rStyle w:val="Hervorhebung"/>
          <w:b w:val="0"/>
        </w:rPr>
        <w:t xml:space="preserve">nach </w:t>
      </w:r>
      <w:r w:rsidRPr="007B538D">
        <w:rPr>
          <w:rStyle w:val="Hervorhebung"/>
          <w:b w:val="0"/>
        </w:rPr>
        <w:t>rund 4 Stunden oder noch später – das Ausbürsten des</w:t>
      </w:r>
      <w:r w:rsidR="00D6440D">
        <w:rPr>
          <w:rStyle w:val="Hervorhebung"/>
          <w:b w:val="0"/>
        </w:rPr>
        <w:t xml:space="preserve"> </w:t>
      </w:r>
      <w:r w:rsidRPr="007B538D">
        <w:rPr>
          <w:rStyle w:val="Hervorhebung"/>
          <w:b w:val="0"/>
        </w:rPr>
        <w:t>Oberflächenmörtels und somit das Freilegen der hochwertigen,</w:t>
      </w:r>
      <w:r>
        <w:rPr>
          <w:rStyle w:val="Hervorhebung"/>
          <w:b w:val="0"/>
        </w:rPr>
        <w:t xml:space="preserve"> </w:t>
      </w:r>
      <w:r w:rsidRPr="007B538D">
        <w:rPr>
          <w:rStyle w:val="Hervorhebung"/>
          <w:b w:val="0"/>
        </w:rPr>
        <w:t>gebrochenen Gesteinskörnung</w:t>
      </w:r>
      <w:r>
        <w:rPr>
          <w:rStyle w:val="Hervorhebung"/>
          <w:b w:val="0"/>
        </w:rPr>
        <w:t xml:space="preserve">en im Oberbeton. Dadurch erhält </w:t>
      </w:r>
      <w:r w:rsidRPr="007B538D">
        <w:rPr>
          <w:rStyle w:val="Hervorhebung"/>
          <w:b w:val="0"/>
        </w:rPr>
        <w:t>die Betonfahrbahn die erford</w:t>
      </w:r>
      <w:r>
        <w:rPr>
          <w:rStyle w:val="Hervorhebung"/>
          <w:b w:val="0"/>
        </w:rPr>
        <w:t xml:space="preserve">erliche </w:t>
      </w:r>
      <w:proofErr w:type="spellStart"/>
      <w:r>
        <w:rPr>
          <w:rStyle w:val="Hervorhebung"/>
          <w:b w:val="0"/>
        </w:rPr>
        <w:t>Rautiefe</w:t>
      </w:r>
      <w:proofErr w:type="spellEnd"/>
      <w:r>
        <w:rPr>
          <w:rStyle w:val="Hervorhebung"/>
          <w:b w:val="0"/>
        </w:rPr>
        <w:t xml:space="preserve"> und dauerhafte </w:t>
      </w:r>
      <w:r w:rsidRPr="007B538D">
        <w:rPr>
          <w:rStyle w:val="Hervorhebung"/>
          <w:b w:val="0"/>
        </w:rPr>
        <w:t>Griffigkeit. Auf die freigelegte G</w:t>
      </w:r>
      <w:r>
        <w:rPr>
          <w:rStyle w:val="Hervorhebung"/>
          <w:b w:val="0"/>
        </w:rPr>
        <w:t xml:space="preserve">esteinskörnung wird nochmal ein </w:t>
      </w:r>
      <w:r w:rsidRPr="007B538D">
        <w:rPr>
          <w:rStyle w:val="Hervorhebung"/>
          <w:b w:val="0"/>
        </w:rPr>
        <w:t>Nachbehandlungsmittel gesprüht.</w:t>
      </w:r>
    </w:p>
    <w:p w:rsidR="007B538D" w:rsidRDefault="007B538D" w:rsidP="007B538D">
      <w:pPr>
        <w:pStyle w:val="Text"/>
        <w:spacing w:line="276" w:lineRule="auto"/>
        <w:rPr>
          <w:rStyle w:val="Hervorhebung"/>
        </w:rPr>
      </w:pPr>
      <w:r w:rsidRPr="007B538D">
        <w:rPr>
          <w:rStyle w:val="Hervorhebung"/>
        </w:rPr>
        <w:lastRenderedPageBreak/>
        <w:t>TCM 180i</w:t>
      </w:r>
      <w:r w:rsidR="00394992">
        <w:rPr>
          <w:rStyle w:val="Hervorhebung"/>
        </w:rPr>
        <w:t xml:space="preserve">: </w:t>
      </w:r>
      <w:r w:rsidRPr="007B538D">
        <w:rPr>
          <w:rStyle w:val="Hervorhebung"/>
        </w:rPr>
        <w:t>„Schlüsselspieler“ beim Betoneinbau</w:t>
      </w:r>
    </w:p>
    <w:p w:rsidR="007B538D" w:rsidRDefault="007B538D" w:rsidP="007B538D">
      <w:pPr>
        <w:pStyle w:val="Text"/>
        <w:spacing w:line="276" w:lineRule="auto"/>
        <w:rPr>
          <w:rStyle w:val="Hervorhebung"/>
          <w:b w:val="0"/>
        </w:rPr>
      </w:pPr>
      <w:r w:rsidRPr="007B538D">
        <w:rPr>
          <w:rStyle w:val="Hervorhebung"/>
          <w:b w:val="0"/>
        </w:rPr>
        <w:t>Entgegen des auf der A7 gewählten Verfahrens wird der TCM 1</w:t>
      </w:r>
      <w:r>
        <w:rPr>
          <w:rStyle w:val="Hervorhebung"/>
          <w:b w:val="0"/>
        </w:rPr>
        <w:t xml:space="preserve">80i in anderen Ländern auch für </w:t>
      </w:r>
      <w:r w:rsidRPr="007B538D">
        <w:rPr>
          <w:rStyle w:val="Hervorhebung"/>
          <w:b w:val="0"/>
        </w:rPr>
        <w:t>das Erstellen der gewünschten Struktur genutzt, indem er mit einer Bürste ü</w:t>
      </w:r>
      <w:r>
        <w:rPr>
          <w:rStyle w:val="Hervorhebung"/>
          <w:b w:val="0"/>
        </w:rPr>
        <w:t xml:space="preserve">ber die gesamte Betonoberfläche </w:t>
      </w:r>
      <w:r w:rsidRPr="007B538D">
        <w:rPr>
          <w:rStyle w:val="Hervorhebung"/>
          <w:b w:val="0"/>
        </w:rPr>
        <w:t>streift. Je nach Bedarf kann das W</w:t>
      </w:r>
      <w:r w:rsidR="00AE2001">
        <w:rPr>
          <w:rStyle w:val="Hervorhebung"/>
          <w:b w:val="0"/>
        </w:rPr>
        <w:t>irtgen</w:t>
      </w:r>
      <w:r w:rsidRPr="007B538D">
        <w:rPr>
          <w:rStyle w:val="Hervorhebung"/>
          <w:b w:val="0"/>
        </w:rPr>
        <w:t xml:space="preserve"> Nachbehandlungsge</w:t>
      </w:r>
      <w:r>
        <w:rPr>
          <w:rStyle w:val="Hervorhebung"/>
          <w:b w:val="0"/>
        </w:rPr>
        <w:t xml:space="preserve">rät dabei verschiedene </w:t>
      </w:r>
      <w:r w:rsidRPr="007B538D">
        <w:rPr>
          <w:rStyle w:val="Hervorhebung"/>
          <w:b w:val="0"/>
        </w:rPr>
        <w:t>Oberflächenstrukturen fertigen. So sind neben den bewährten Funktio</w:t>
      </w:r>
      <w:r>
        <w:rPr>
          <w:rStyle w:val="Hervorhebung"/>
          <w:b w:val="0"/>
        </w:rPr>
        <w:t xml:space="preserve">nen Querbürsten und Quersprühen </w:t>
      </w:r>
      <w:r w:rsidRPr="007B538D">
        <w:rPr>
          <w:rStyle w:val="Hervorhebung"/>
          <w:b w:val="0"/>
        </w:rPr>
        <w:t xml:space="preserve">auch Längsbürsten und Längssprühen sowie das Erstellen </w:t>
      </w:r>
      <w:r>
        <w:rPr>
          <w:rStyle w:val="Hervorhebung"/>
          <w:b w:val="0"/>
        </w:rPr>
        <w:t xml:space="preserve">einer Diagonalstruktur möglich. </w:t>
      </w:r>
      <w:r w:rsidRPr="007B538D">
        <w:rPr>
          <w:rStyle w:val="Hervorhebung"/>
          <w:b w:val="0"/>
        </w:rPr>
        <w:t>Eine Besonderheit ist das Mäandersprühen: Es ermöglicht Quersprühen bei gl</w:t>
      </w:r>
      <w:r>
        <w:rPr>
          <w:rStyle w:val="Hervorhebung"/>
          <w:b w:val="0"/>
        </w:rPr>
        <w:t xml:space="preserve">eichzeitig unterbrechungsfreier </w:t>
      </w:r>
      <w:r w:rsidRPr="007B538D">
        <w:rPr>
          <w:rStyle w:val="Hervorhebung"/>
          <w:b w:val="0"/>
        </w:rPr>
        <w:t>Fahrt der Maschine. Um für die optimale Oberfläche</w:t>
      </w:r>
      <w:r>
        <w:rPr>
          <w:rStyle w:val="Hervorhebung"/>
          <w:b w:val="0"/>
        </w:rPr>
        <w:t xml:space="preserve">nstruktur zu sorgen, entwickelt </w:t>
      </w:r>
      <w:r w:rsidRPr="007B538D">
        <w:rPr>
          <w:rStyle w:val="Hervorhebung"/>
          <w:b w:val="0"/>
        </w:rPr>
        <w:t>W</w:t>
      </w:r>
      <w:r w:rsidR="00AE2001">
        <w:rPr>
          <w:rStyle w:val="Hervorhebung"/>
          <w:b w:val="0"/>
        </w:rPr>
        <w:t>irtgen</w:t>
      </w:r>
      <w:r w:rsidRPr="007B538D">
        <w:rPr>
          <w:rStyle w:val="Hervorhebung"/>
          <w:b w:val="0"/>
        </w:rPr>
        <w:t xml:space="preserve"> die dazugehörigen Komponenten darüber hinaus kontinuierli</w:t>
      </w:r>
      <w:r>
        <w:rPr>
          <w:rStyle w:val="Hervorhebung"/>
          <w:b w:val="0"/>
        </w:rPr>
        <w:t xml:space="preserve">ch weiter. Ein Beispiel ist die </w:t>
      </w:r>
      <w:r w:rsidRPr="007B538D">
        <w:rPr>
          <w:rStyle w:val="Hervorhebung"/>
          <w:b w:val="0"/>
        </w:rPr>
        <w:t>Bürstenreinigungseinheit des TCM 180i.</w:t>
      </w:r>
    </w:p>
    <w:p w:rsidR="007B538D" w:rsidRDefault="007B538D" w:rsidP="007B538D">
      <w:pPr>
        <w:pStyle w:val="Text"/>
        <w:spacing w:line="276" w:lineRule="auto"/>
        <w:rPr>
          <w:rStyle w:val="Hervorhebung"/>
          <w:b w:val="0"/>
        </w:rPr>
      </w:pPr>
    </w:p>
    <w:p w:rsidR="00B57034" w:rsidRPr="00B57034" w:rsidRDefault="00B57034" w:rsidP="00B57034">
      <w:pPr>
        <w:pStyle w:val="Text"/>
        <w:spacing w:line="276" w:lineRule="auto"/>
        <w:rPr>
          <w:rStyle w:val="Hervorhebung"/>
        </w:rPr>
      </w:pPr>
      <w:r w:rsidRPr="00B57034">
        <w:rPr>
          <w:rStyle w:val="Hervorhebung"/>
        </w:rPr>
        <w:t>Besonderheit:</w:t>
      </w:r>
      <w:r>
        <w:rPr>
          <w:rStyle w:val="Hervorhebung"/>
        </w:rPr>
        <w:t xml:space="preserve"> </w:t>
      </w:r>
      <w:r w:rsidRPr="00B57034">
        <w:rPr>
          <w:rStyle w:val="Hervorhebung"/>
        </w:rPr>
        <w:t>Warmwasserheizung für einfache Reinigung</w:t>
      </w:r>
    </w:p>
    <w:p w:rsidR="00B57034" w:rsidRDefault="00B57034" w:rsidP="00B57034">
      <w:pPr>
        <w:pStyle w:val="Text"/>
        <w:spacing w:line="276" w:lineRule="auto"/>
        <w:rPr>
          <w:rStyle w:val="Hervorhebung"/>
          <w:b w:val="0"/>
        </w:rPr>
      </w:pPr>
      <w:r w:rsidRPr="00B57034">
        <w:rPr>
          <w:rStyle w:val="Hervorhebung"/>
          <w:b w:val="0"/>
        </w:rPr>
        <w:t>Die wirtschaftliche Reinigung der Sprühsysteme</w:t>
      </w:r>
      <w:r>
        <w:rPr>
          <w:rStyle w:val="Hervorhebung"/>
          <w:b w:val="0"/>
        </w:rPr>
        <w:t xml:space="preserve"> von Nachbehandlungsgeräten ist </w:t>
      </w:r>
      <w:r w:rsidRPr="00B57034">
        <w:rPr>
          <w:rStyle w:val="Hervorhebung"/>
          <w:b w:val="0"/>
        </w:rPr>
        <w:t>eine Herausforderung. Deshalb hat W</w:t>
      </w:r>
      <w:r w:rsidR="000A4BC0">
        <w:rPr>
          <w:rStyle w:val="Hervorhebung"/>
          <w:b w:val="0"/>
        </w:rPr>
        <w:t>irtgen</w:t>
      </w:r>
      <w:r w:rsidRPr="00B57034">
        <w:rPr>
          <w:rStyle w:val="Hervorhebung"/>
          <w:b w:val="0"/>
        </w:rPr>
        <w:t xml:space="preserve"> e</w:t>
      </w:r>
      <w:r>
        <w:rPr>
          <w:rStyle w:val="Hervorhebung"/>
          <w:b w:val="0"/>
        </w:rPr>
        <w:t xml:space="preserve">ine Warmwasserheizung inklusive </w:t>
      </w:r>
      <w:r w:rsidRPr="00B57034">
        <w:rPr>
          <w:rStyle w:val="Hervorhebung"/>
          <w:b w:val="0"/>
        </w:rPr>
        <w:t xml:space="preserve">eines 90 l Tanks in den TCM 180i integriert. </w:t>
      </w:r>
      <w:r>
        <w:rPr>
          <w:rStyle w:val="Hervorhebung"/>
          <w:b w:val="0"/>
        </w:rPr>
        <w:t xml:space="preserve">Dadurch kann auf Knopfdruck und </w:t>
      </w:r>
      <w:r w:rsidRPr="00B57034">
        <w:rPr>
          <w:rStyle w:val="Hervorhebung"/>
          <w:b w:val="0"/>
        </w:rPr>
        <w:t xml:space="preserve">durch das Umlegen von zwei Kugelhähnen </w:t>
      </w:r>
      <w:r>
        <w:rPr>
          <w:rStyle w:val="Hervorhebung"/>
          <w:b w:val="0"/>
        </w:rPr>
        <w:t xml:space="preserve">das in den Leitungen anhaftende Nachbehandlungsmittel </w:t>
      </w:r>
      <w:r w:rsidRPr="00B57034">
        <w:rPr>
          <w:rStyle w:val="Hervorhebung"/>
          <w:b w:val="0"/>
        </w:rPr>
        <w:t>mit bis zu 60 °C warmem Wasser</w:t>
      </w:r>
      <w:r>
        <w:rPr>
          <w:rStyle w:val="Hervorhebung"/>
          <w:b w:val="0"/>
        </w:rPr>
        <w:t xml:space="preserve"> restlos gelöst und das gesamte </w:t>
      </w:r>
      <w:r w:rsidRPr="00B57034">
        <w:rPr>
          <w:rStyle w:val="Hervorhebung"/>
          <w:b w:val="0"/>
        </w:rPr>
        <w:t>Sprühsystem schnell und zuverlässig gereinigt werden.</w:t>
      </w:r>
      <w:r w:rsidR="00E24475" w:rsidRPr="00E24475">
        <w:t xml:space="preserve"> </w:t>
      </w:r>
      <w:r w:rsidR="00E24475" w:rsidRPr="00E24475">
        <w:rPr>
          <w:rStyle w:val="Hervorhebung"/>
          <w:b w:val="0"/>
        </w:rPr>
        <w:t>Mit der neuen Warmwasserheizung des TCM 180i hat W</w:t>
      </w:r>
      <w:r w:rsidR="000A4BC0">
        <w:rPr>
          <w:rStyle w:val="Hervorhebung"/>
          <w:b w:val="0"/>
        </w:rPr>
        <w:t>irtgen</w:t>
      </w:r>
      <w:r w:rsidR="00E24475" w:rsidRPr="00E24475">
        <w:rPr>
          <w:rStyle w:val="Hervorhebung"/>
          <w:b w:val="0"/>
        </w:rPr>
        <w:t xml:space="preserve"> ins Schwarze getroffen. Ein praxisgerechter Mehrwert, von dem wir auch in Zukunft sehr profitieren.“ Deni </w:t>
      </w:r>
      <w:proofErr w:type="spellStart"/>
      <w:r w:rsidR="00E24475" w:rsidRPr="00E24475">
        <w:rPr>
          <w:rStyle w:val="Hervorhebung"/>
          <w:b w:val="0"/>
        </w:rPr>
        <w:t>Pokrajcic</w:t>
      </w:r>
      <w:proofErr w:type="spellEnd"/>
      <w:r w:rsidR="00E24475" w:rsidRPr="00E24475">
        <w:rPr>
          <w:rStyle w:val="Hervorhebung"/>
          <w:b w:val="0"/>
        </w:rPr>
        <w:t>, Bauleiter BT Beton-Technik GmbH.</w:t>
      </w:r>
    </w:p>
    <w:p w:rsidR="0044506F" w:rsidRDefault="0044506F">
      <w:pPr>
        <w:rPr>
          <w:rFonts w:ascii="Verdana" w:eastAsia="Calibri" w:hAnsi="Verdana" w:cs="Times New Roman"/>
          <w:b/>
          <w:sz w:val="22"/>
          <w:szCs w:val="22"/>
        </w:rPr>
      </w:pPr>
    </w:p>
    <w:p w:rsidR="0044506F" w:rsidRDefault="0044506F">
      <w:pPr>
        <w:rPr>
          <w:rFonts w:ascii="Verdana" w:eastAsia="Calibri" w:hAnsi="Verdana" w:cs="Times New Roman"/>
          <w:b/>
          <w:sz w:val="22"/>
          <w:szCs w:val="22"/>
        </w:rPr>
      </w:pPr>
    </w:p>
    <w:p w:rsidR="00415AA1" w:rsidRDefault="002844EF" w:rsidP="0047354E">
      <w:pPr>
        <w:pStyle w:val="HeadlineFotos"/>
      </w:pPr>
      <w:r w:rsidRPr="00B57034">
        <w:rPr>
          <w:rFonts w:ascii="Verdana" w:eastAsia="Calibri" w:hAnsi="Verdana" w:cs="Times New Roman"/>
          <w:caps w:val="0"/>
          <w:szCs w:val="22"/>
        </w:rPr>
        <w:t>Fotos</w:t>
      </w:r>
      <w:r w:rsidR="00D166AC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9"/>
        <w:gridCol w:w="4849"/>
      </w:tblGrid>
      <w:tr w:rsidR="00A9264C" w:rsidRPr="005B3697" w:rsidTr="00B520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A9264C" w:rsidRPr="00D166AC" w:rsidRDefault="00A9264C" w:rsidP="00B5202C">
            <w:r>
              <w:rPr>
                <w:noProof/>
                <w:lang w:eastAsia="de-DE"/>
              </w:rPr>
              <w:drawing>
                <wp:inline distT="0" distB="0" distL="0" distR="0" wp14:anchorId="4C597147" wp14:editId="1E5B826E">
                  <wp:extent cx="2668377" cy="1778918"/>
                  <wp:effectExtent l="0" t="0" r="0" b="0"/>
                  <wp:docPr id="1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7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A9264C" w:rsidRPr="006C7638" w:rsidRDefault="00EB0FED" w:rsidP="00B5202C">
            <w:pPr>
              <w:pStyle w:val="berschrift3"/>
              <w:outlineLvl w:val="2"/>
            </w:pPr>
            <w:r w:rsidRPr="00EB0FED">
              <w:t>W_photo_TCM180i_00005</w:t>
            </w:r>
            <w:r w:rsidR="00CA005F">
              <w:t>_PR</w:t>
            </w:r>
            <w:r w:rsidR="00AE2ED8" w:rsidRPr="006C7638">
              <w:t xml:space="preserve"> </w:t>
            </w:r>
          </w:p>
          <w:p w:rsidR="00A9264C" w:rsidRPr="005B3697" w:rsidRDefault="00A9264C" w:rsidP="000A4BC0">
            <w:pPr>
              <w:pStyle w:val="Text"/>
              <w:jc w:val="left"/>
              <w:rPr>
                <w:sz w:val="20"/>
              </w:rPr>
            </w:pPr>
            <w:r w:rsidRPr="006C7638">
              <w:rPr>
                <w:sz w:val="20"/>
              </w:rPr>
              <w:t>Mit Arbeitsbreiten bis 18,0 m ist der TCM</w:t>
            </w:r>
            <w:r w:rsidR="000A4BC0">
              <w:rPr>
                <w:sz w:val="20"/>
              </w:rPr>
              <w:t> </w:t>
            </w:r>
            <w:r w:rsidRPr="006C7638">
              <w:rPr>
                <w:sz w:val="20"/>
              </w:rPr>
              <w:t xml:space="preserve">180i der ideale </w:t>
            </w:r>
            <w:r w:rsidRPr="00A9264C">
              <w:rPr>
                <w:sz w:val="20"/>
              </w:rPr>
              <w:t>Mitspieler der beiden SP</w:t>
            </w:r>
            <w:r w:rsidR="000A4BC0">
              <w:rPr>
                <w:sz w:val="20"/>
              </w:rPr>
              <w:t> </w:t>
            </w:r>
            <w:r w:rsidRPr="00A9264C">
              <w:rPr>
                <w:sz w:val="20"/>
              </w:rPr>
              <w:t>1500. Er sorgt für die optimale Nachbehandlung der neuen Betondecke.</w:t>
            </w:r>
          </w:p>
        </w:tc>
      </w:tr>
    </w:tbl>
    <w:p w:rsidR="00A9264C" w:rsidRDefault="00A9264C" w:rsidP="00D166AC">
      <w:pPr>
        <w:pStyle w:val="Text"/>
      </w:pPr>
    </w:p>
    <w:p w:rsidR="0044506F" w:rsidRDefault="0044506F" w:rsidP="00D166AC">
      <w:pPr>
        <w:pStyle w:val="Text"/>
      </w:pPr>
    </w:p>
    <w:p w:rsidR="0044506F" w:rsidRDefault="0044506F" w:rsidP="00D166AC">
      <w:pPr>
        <w:pStyle w:val="Text"/>
      </w:pPr>
    </w:p>
    <w:p w:rsidR="0044506F" w:rsidRDefault="0044506F" w:rsidP="00D166AC">
      <w:pPr>
        <w:pStyle w:val="Text"/>
      </w:pPr>
    </w:p>
    <w:p w:rsidR="0044506F" w:rsidRDefault="0044506F" w:rsidP="00D166AC">
      <w:pPr>
        <w:pStyle w:val="Text"/>
      </w:pPr>
    </w:p>
    <w:p w:rsidR="0044506F" w:rsidRDefault="0044506F" w:rsidP="00D166AC">
      <w:pPr>
        <w:pStyle w:val="Text"/>
      </w:pPr>
    </w:p>
    <w:p w:rsidR="0044506F" w:rsidRDefault="0044506F" w:rsidP="00D166AC">
      <w:pPr>
        <w:pStyle w:val="Text"/>
      </w:pPr>
    </w:p>
    <w:p w:rsidR="0044506F" w:rsidRDefault="0044506F" w:rsidP="00D166AC">
      <w:pPr>
        <w:pStyle w:val="Text"/>
      </w:pPr>
    </w:p>
    <w:p w:rsidR="0044506F" w:rsidRDefault="0044506F" w:rsidP="00D166AC">
      <w:pPr>
        <w:pStyle w:val="Text"/>
      </w:pPr>
    </w:p>
    <w:p w:rsidR="0044506F" w:rsidRDefault="0044506F" w:rsidP="0044506F">
      <w:pPr>
        <w:pStyle w:val="HeadlineFotos"/>
      </w:pPr>
      <w:r w:rsidRPr="00B57034">
        <w:rPr>
          <w:rFonts w:ascii="Verdana" w:eastAsia="Calibri" w:hAnsi="Verdana" w:cs="Times New Roman"/>
          <w:caps w:val="0"/>
          <w:szCs w:val="22"/>
        </w:rPr>
        <w:lastRenderedPageBreak/>
        <w:t>Fotos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4"/>
        <w:gridCol w:w="4814"/>
      </w:tblGrid>
      <w:tr w:rsidR="004A31E2" w:rsidRPr="005B3697" w:rsidTr="004450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5"/>
          <w:tblCellSpacing w:w="71" w:type="dxa"/>
        </w:trPr>
        <w:tc>
          <w:tcPr>
            <w:tcW w:w="4781" w:type="dxa"/>
            <w:tcBorders>
              <w:right w:val="single" w:sz="4" w:space="0" w:color="auto"/>
            </w:tcBorders>
          </w:tcPr>
          <w:p w:rsidR="000A4BC0" w:rsidRDefault="000A4BC0" w:rsidP="00783DF9"/>
          <w:p w:rsidR="004A31E2" w:rsidRPr="00D166AC" w:rsidRDefault="004A31E2" w:rsidP="00783DF9">
            <w:r>
              <w:rPr>
                <w:noProof/>
                <w:lang w:eastAsia="de-DE"/>
              </w:rPr>
              <w:drawing>
                <wp:inline distT="0" distB="0" distL="0" distR="0" wp14:anchorId="56259E89" wp14:editId="7C3FCC67">
                  <wp:extent cx="2668307" cy="1335019"/>
                  <wp:effectExtent l="0" t="0" r="0" b="0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07" cy="13350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1" w:type="dxa"/>
          </w:tcPr>
          <w:p w:rsidR="004A31E2" w:rsidRPr="00CA005F" w:rsidRDefault="00EB0FED" w:rsidP="00783DF9">
            <w:pPr>
              <w:pStyle w:val="berschrift3"/>
              <w:outlineLvl w:val="2"/>
              <w:rPr>
                <w:lang w:val="en-US"/>
              </w:rPr>
            </w:pPr>
            <w:r w:rsidRPr="00CA005F">
              <w:rPr>
                <w:lang w:val="en-US"/>
              </w:rPr>
              <w:t>W_photo_Jobsite-Kaltenkirchen-Highway_00001</w:t>
            </w:r>
            <w:r w:rsidR="00CA005F" w:rsidRPr="00CA005F">
              <w:rPr>
                <w:lang w:val="en-US"/>
              </w:rPr>
              <w:t>_PR</w:t>
            </w:r>
          </w:p>
          <w:p w:rsidR="004A31E2" w:rsidRPr="005B3697" w:rsidRDefault="006A22D0" w:rsidP="000A4BC0">
            <w:pPr>
              <w:pStyle w:val="Text"/>
              <w:jc w:val="left"/>
              <w:rPr>
                <w:sz w:val="20"/>
              </w:rPr>
            </w:pPr>
            <w:r w:rsidRPr="006C7638">
              <w:rPr>
                <w:sz w:val="20"/>
              </w:rPr>
              <w:t xml:space="preserve">Zweilagiger </w:t>
            </w:r>
            <w:r w:rsidR="00E8133A">
              <w:rPr>
                <w:sz w:val="20"/>
              </w:rPr>
              <w:t xml:space="preserve">Betoneinbau „nass-in-nass“: Mit </w:t>
            </w:r>
            <w:r w:rsidRPr="006C7638">
              <w:rPr>
                <w:sz w:val="20"/>
              </w:rPr>
              <w:t xml:space="preserve">moderner Einbautechnik stellte </w:t>
            </w:r>
            <w:r w:rsidR="00E8133A">
              <w:rPr>
                <w:sz w:val="20"/>
              </w:rPr>
              <w:t xml:space="preserve">BT Beton </w:t>
            </w:r>
            <w:r>
              <w:rPr>
                <w:sz w:val="20"/>
              </w:rPr>
              <w:t xml:space="preserve">Technik 14,5 m breite, </w:t>
            </w:r>
            <w:r w:rsidR="00E8133A">
              <w:rPr>
                <w:sz w:val="20"/>
              </w:rPr>
              <w:t xml:space="preserve">zweilagige </w:t>
            </w:r>
            <w:r w:rsidRPr="006A22D0">
              <w:rPr>
                <w:sz w:val="20"/>
              </w:rPr>
              <w:t>Betonfahrbah</w:t>
            </w:r>
            <w:r>
              <w:rPr>
                <w:sz w:val="20"/>
              </w:rPr>
              <w:t xml:space="preserve">nen präzise, wirtschaftlich und </w:t>
            </w:r>
            <w:r w:rsidRPr="006A22D0">
              <w:rPr>
                <w:sz w:val="20"/>
              </w:rPr>
              <w:t>schnell her – und hielt</w:t>
            </w:r>
            <w:r w:rsidR="00E8133A">
              <w:rPr>
                <w:sz w:val="20"/>
              </w:rPr>
              <w:t xml:space="preserve"> gleichzeitig die </w:t>
            </w:r>
            <w:r>
              <w:rPr>
                <w:sz w:val="20"/>
              </w:rPr>
              <w:t xml:space="preserve">„sportlichen“ </w:t>
            </w:r>
            <w:r w:rsidR="00E8133A">
              <w:rPr>
                <w:sz w:val="20"/>
              </w:rPr>
              <w:t xml:space="preserve">Vorgabezeiten des </w:t>
            </w:r>
            <w:r w:rsidRPr="006A22D0">
              <w:rPr>
                <w:sz w:val="20"/>
              </w:rPr>
              <w:t>Auftraggebers zuverlässig ein.</w:t>
            </w:r>
            <w:r w:rsidR="00E8133A">
              <w:rPr>
                <w:sz w:val="20"/>
              </w:rPr>
              <w:t xml:space="preserve"> </w:t>
            </w:r>
          </w:p>
        </w:tc>
      </w:tr>
    </w:tbl>
    <w:p w:rsidR="00E8133A" w:rsidRDefault="00E8133A" w:rsidP="00E8133A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74"/>
        <w:gridCol w:w="4834"/>
      </w:tblGrid>
      <w:tr w:rsidR="00E8133A" w:rsidRPr="005B3697" w:rsidTr="000A4B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5"/>
          <w:tblCellSpacing w:w="71" w:type="dxa"/>
        </w:trPr>
        <w:tc>
          <w:tcPr>
            <w:tcW w:w="4761" w:type="dxa"/>
            <w:tcBorders>
              <w:right w:val="single" w:sz="4" w:space="0" w:color="auto"/>
            </w:tcBorders>
          </w:tcPr>
          <w:p w:rsidR="00E8133A" w:rsidRPr="00D166AC" w:rsidRDefault="00E8133A" w:rsidP="006A60E1">
            <w:bookmarkStart w:id="0" w:name="_GoBack" w:colFirst="1" w:colLast="1"/>
            <w:r>
              <w:rPr>
                <w:noProof/>
                <w:lang w:eastAsia="de-DE"/>
              </w:rPr>
              <w:drawing>
                <wp:inline distT="0" distB="0" distL="0" distR="0" wp14:anchorId="139B96BC" wp14:editId="52F278F9">
                  <wp:extent cx="2668377" cy="1778918"/>
                  <wp:effectExtent l="0" t="0" r="0" b="0"/>
                  <wp:docPr id="1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7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E8133A" w:rsidRPr="00E24475" w:rsidRDefault="00E8133A" w:rsidP="006A60E1">
            <w:pPr>
              <w:pStyle w:val="berschrift3"/>
              <w:outlineLvl w:val="2"/>
            </w:pPr>
            <w:r w:rsidRPr="00E24475">
              <w:t>W_photo_TCM180i_00011</w:t>
            </w:r>
            <w:r w:rsidR="00CA005F" w:rsidRPr="00CA005F">
              <w:t>_PR</w:t>
            </w:r>
          </w:p>
          <w:p w:rsidR="00E8133A" w:rsidRPr="005B3697" w:rsidRDefault="00E8133A" w:rsidP="000A4BC0">
            <w:pPr>
              <w:pStyle w:val="Text"/>
              <w:jc w:val="left"/>
              <w:rPr>
                <w:sz w:val="20"/>
              </w:rPr>
            </w:pPr>
            <w:r w:rsidRPr="00E8133A">
              <w:rPr>
                <w:sz w:val="20"/>
              </w:rPr>
              <w:t>Sportliche Leistung: Dank des eingespielten Teams wurden Einbauleistungen von 400 m bis 500 m im 12-</w:t>
            </w:r>
            <w:r w:rsidR="00E24475">
              <w:rPr>
                <w:sz w:val="20"/>
              </w:rPr>
              <w:t>Stunden-Schichtbetrieb erzielt.</w:t>
            </w:r>
            <w:r w:rsidR="00756BD3">
              <w:t xml:space="preserve"> </w:t>
            </w:r>
            <w:r w:rsidR="00756BD3" w:rsidRPr="00756BD3">
              <w:rPr>
                <w:sz w:val="20"/>
              </w:rPr>
              <w:t>„Für uns sind die Zuverlässigkeit, Wirtschaftlichkeit und Präzision von W</w:t>
            </w:r>
            <w:r w:rsidR="000A4BC0">
              <w:rPr>
                <w:sz w:val="20"/>
              </w:rPr>
              <w:t>irtgen</w:t>
            </w:r>
            <w:r w:rsidR="00756BD3" w:rsidRPr="00756BD3">
              <w:rPr>
                <w:sz w:val="20"/>
              </w:rPr>
              <w:t xml:space="preserve"> ausschlaggebend." Mirko </w:t>
            </w:r>
            <w:proofErr w:type="spellStart"/>
            <w:r w:rsidR="00756BD3" w:rsidRPr="00756BD3">
              <w:rPr>
                <w:sz w:val="20"/>
              </w:rPr>
              <w:t>Pokrajcic</w:t>
            </w:r>
            <w:proofErr w:type="spellEnd"/>
            <w:r w:rsidR="00756BD3" w:rsidRPr="00756BD3">
              <w:rPr>
                <w:sz w:val="20"/>
              </w:rPr>
              <w:t>, Geschäftsführer BT Beton-Technik GmbH</w:t>
            </w:r>
          </w:p>
        </w:tc>
      </w:tr>
      <w:bookmarkEnd w:id="0"/>
    </w:tbl>
    <w:p w:rsidR="0044506F" w:rsidRPr="0044506F" w:rsidRDefault="0044506F" w:rsidP="0044506F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0"/>
        <w:gridCol w:w="4848"/>
      </w:tblGrid>
      <w:tr w:rsidR="00E8133A" w:rsidRPr="005B3697" w:rsidTr="000A4B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5"/>
          <w:tblCellSpacing w:w="71" w:type="dxa"/>
        </w:trPr>
        <w:tc>
          <w:tcPr>
            <w:tcW w:w="4747" w:type="dxa"/>
            <w:tcBorders>
              <w:right w:val="single" w:sz="4" w:space="0" w:color="auto"/>
            </w:tcBorders>
          </w:tcPr>
          <w:p w:rsidR="000A4BC0" w:rsidRDefault="000A4BC0" w:rsidP="006A60E1"/>
          <w:p w:rsidR="000A4BC0" w:rsidRDefault="000A4BC0" w:rsidP="006A60E1"/>
          <w:p w:rsidR="00E8133A" w:rsidRPr="00D166AC" w:rsidRDefault="00E8133A" w:rsidP="006A60E1">
            <w:r>
              <w:rPr>
                <w:noProof/>
                <w:lang w:eastAsia="de-DE"/>
              </w:rPr>
              <w:drawing>
                <wp:inline distT="0" distB="0" distL="0" distR="0" wp14:anchorId="3B17B7A8" wp14:editId="17ED81A6">
                  <wp:extent cx="2602197" cy="1961750"/>
                  <wp:effectExtent l="0" t="0" r="8255" b="635"/>
                  <wp:docPr id="15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2197" cy="196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5" w:type="dxa"/>
          </w:tcPr>
          <w:p w:rsidR="00E8133A" w:rsidRPr="00E8133A" w:rsidRDefault="00E8133A" w:rsidP="006A60E1">
            <w:pPr>
              <w:pStyle w:val="berschrift3"/>
              <w:outlineLvl w:val="2"/>
            </w:pPr>
            <w:r w:rsidRPr="00E8133A">
              <w:t>W_graphic_TCM180i_00019</w:t>
            </w:r>
            <w:r w:rsidR="00CA005F" w:rsidRPr="00CA005F">
              <w:t>_PR</w:t>
            </w:r>
          </w:p>
          <w:p w:rsidR="00E8133A" w:rsidRPr="005B3697" w:rsidRDefault="00E8133A" w:rsidP="006A60E1">
            <w:pPr>
              <w:pStyle w:val="Text"/>
              <w:jc w:val="left"/>
              <w:rPr>
                <w:sz w:val="20"/>
              </w:rPr>
            </w:pPr>
            <w:r w:rsidRPr="00E8133A">
              <w:rPr>
                <w:sz w:val="20"/>
              </w:rPr>
              <w:t>Die seitliche Bürstenreinigungseinheit des TCM 180i entfernt die Schlämme, die beim Querbürsten während des Richtungswechsels an der Bürste haften bleiben. Bevor die Bürste wieder auf der Betondecke aufset</w:t>
            </w:r>
            <w:r>
              <w:rPr>
                <w:sz w:val="20"/>
              </w:rPr>
              <w:t xml:space="preserve">zt, wird sie über das – je nach </w:t>
            </w:r>
            <w:r w:rsidRPr="00E8133A">
              <w:rPr>
                <w:sz w:val="20"/>
              </w:rPr>
              <w:t>Kundenanforderung – einstellbare System in ihrer Neigung optimal angepasst. So werden tiefe und die Betondeckenkante beschädigende Eindrücke vermieden.</w:t>
            </w:r>
          </w:p>
        </w:tc>
      </w:tr>
    </w:tbl>
    <w:p w:rsidR="001A11C7" w:rsidRDefault="001A11C7" w:rsidP="00C03396">
      <w:pPr>
        <w:pStyle w:val="Text"/>
        <w:rPr>
          <w:i/>
          <w:u w:val="single"/>
        </w:rPr>
      </w:pPr>
    </w:p>
    <w:p w:rsidR="00C03396" w:rsidRDefault="00C03396" w:rsidP="00C03396">
      <w:pPr>
        <w:pStyle w:val="Text"/>
        <w:rPr>
          <w:i/>
        </w:rPr>
      </w:pPr>
      <w:r w:rsidRPr="00233CE9">
        <w:rPr>
          <w:i/>
          <w:u w:val="single"/>
        </w:rPr>
        <w:lastRenderedPageBreak/>
        <w:t>Hinweis:</w:t>
      </w:r>
      <w:r w:rsidRPr="00233CE9">
        <w:rPr>
          <w:i/>
        </w:rPr>
        <w:t xml:space="preserve"> Die</w:t>
      </w:r>
      <w:r>
        <w:rPr>
          <w:i/>
        </w:rPr>
        <w:t>se</w:t>
      </w:r>
      <w:r w:rsidRPr="00233CE9">
        <w:rPr>
          <w:i/>
        </w:rPr>
        <w:t xml:space="preserve"> Fotos dienen lediglich der Voransicht. Für den Abdruck in den Publikationen nutzen Sie bitte die </w:t>
      </w:r>
      <w:r>
        <w:rPr>
          <w:i/>
        </w:rPr>
        <w:t>Fotos in 300 dpi-Auflösung,</w:t>
      </w:r>
      <w:r w:rsidRPr="00233CE9">
        <w:rPr>
          <w:i/>
        </w:rPr>
        <w:t xml:space="preserve"> </w:t>
      </w:r>
      <w:r>
        <w:rPr>
          <w:i/>
        </w:rPr>
        <w:t>die auf den Webseiten der</w:t>
      </w:r>
      <w:r w:rsidRPr="00233CE9">
        <w:rPr>
          <w:i/>
        </w:rPr>
        <w:t xml:space="preserve"> Wirtgen G</w:t>
      </w:r>
      <w:r>
        <w:rPr>
          <w:i/>
        </w:rPr>
        <w:t>mbH</w:t>
      </w:r>
      <w:r w:rsidRPr="00233CE9">
        <w:rPr>
          <w:i/>
        </w:rPr>
        <w:t xml:space="preserve"> </w:t>
      </w:r>
      <w:r>
        <w:rPr>
          <w:i/>
        </w:rPr>
        <w:t xml:space="preserve">/Wirtgen Group </w:t>
      </w:r>
      <w:r w:rsidRPr="00233CE9">
        <w:rPr>
          <w:i/>
        </w:rPr>
        <w:t>als Download zur Verfügung</w:t>
      </w:r>
      <w:r>
        <w:rPr>
          <w:i/>
        </w:rPr>
        <w:t xml:space="preserve"> stehen</w:t>
      </w:r>
      <w:r w:rsidRPr="00233CE9">
        <w:rPr>
          <w:i/>
        </w:rPr>
        <w:t>.</w:t>
      </w:r>
    </w:p>
    <w:p w:rsidR="000A4BC0" w:rsidRPr="00FB62C5" w:rsidRDefault="000A4BC0" w:rsidP="00C03396">
      <w:pPr>
        <w:pStyle w:val="Text"/>
      </w:pPr>
    </w:p>
    <w:p w:rsidR="000A4BC0" w:rsidRDefault="000A4BC0" w:rsidP="00C03396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 w:rsidRPr="002844EF">
              <w:rPr>
                <w:rFonts w:ascii="Verdana" w:eastAsia="Calibri" w:hAnsi="Verdana" w:cs="Times New Roman"/>
                <w:caps w:val="0"/>
                <w:szCs w:val="22"/>
              </w:rPr>
              <w:t xml:space="preserve">Weitere Informationen </w:t>
            </w:r>
          </w:p>
          <w:p w:rsidR="00D166AC" w:rsidRDefault="002844EF" w:rsidP="0034191A">
            <w:pPr>
              <w:pStyle w:val="HeadlineKontakte"/>
            </w:pPr>
            <w:r w:rsidRPr="002844EF">
              <w:rPr>
                <w:rFonts w:ascii="Verdana" w:eastAsia="Calibri" w:hAnsi="Verdana" w:cs="Times New Roman"/>
                <w:caps w:val="0"/>
                <w:szCs w:val="22"/>
              </w:rPr>
              <w:t>erhalten Sie bei</w:t>
            </w:r>
            <w:r w:rsidR="0034191A">
              <w:t>:</w:t>
            </w:r>
          </w:p>
          <w:p w:rsidR="008D4AE7" w:rsidRPr="00FB62C5" w:rsidRDefault="008D4AE7" w:rsidP="008D4AE7">
            <w:pPr>
              <w:pStyle w:val="Text"/>
              <w:rPr>
                <w:lang w:val="en-US"/>
              </w:rPr>
            </w:pPr>
            <w:r w:rsidRPr="00FB62C5">
              <w:rPr>
                <w:lang w:val="en-US"/>
              </w:rPr>
              <w:t>WIRTGEN GmbH</w:t>
            </w:r>
          </w:p>
          <w:p w:rsidR="008D4AE7" w:rsidRPr="00FB62C5" w:rsidRDefault="008D4AE7" w:rsidP="008D4AE7">
            <w:pPr>
              <w:pStyle w:val="Text"/>
              <w:rPr>
                <w:lang w:val="en-US"/>
              </w:rPr>
            </w:pPr>
            <w:r w:rsidRPr="00FB62C5">
              <w:rPr>
                <w:lang w:val="en-US"/>
              </w:rPr>
              <w:t>Corporate Communications</w:t>
            </w:r>
          </w:p>
          <w:p w:rsidR="008D4AE7" w:rsidRPr="00FB62C5" w:rsidRDefault="008D4AE7" w:rsidP="008D4AE7">
            <w:pPr>
              <w:pStyle w:val="Text"/>
              <w:rPr>
                <w:lang w:val="en-US"/>
              </w:rPr>
            </w:pPr>
            <w:r w:rsidRPr="00FB62C5">
              <w:rPr>
                <w:lang w:val="en-US"/>
              </w:rPr>
              <w:t>Michaela Adams, Mario Linnemann</w:t>
            </w:r>
          </w:p>
          <w:p w:rsidR="008D4AE7" w:rsidRDefault="008D4AE7" w:rsidP="008D4AE7">
            <w:pPr>
              <w:pStyle w:val="Text"/>
            </w:pPr>
            <w:r>
              <w:t>Reinhard-Wirtgen-Straße 2</w:t>
            </w:r>
          </w:p>
          <w:p w:rsidR="008D4AE7" w:rsidRDefault="008D4AE7" w:rsidP="008D4AE7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8D4AE7" w:rsidRDefault="008D4AE7" w:rsidP="008D4AE7">
            <w:pPr>
              <w:pStyle w:val="Text"/>
            </w:pPr>
            <w:r>
              <w:t>Deutschland</w:t>
            </w:r>
          </w:p>
          <w:p w:rsidR="008D4AE7" w:rsidRDefault="008D4AE7" w:rsidP="008D4AE7">
            <w:pPr>
              <w:pStyle w:val="Text"/>
            </w:pPr>
          </w:p>
          <w:p w:rsidR="008D4AE7" w:rsidRDefault="008D4AE7" w:rsidP="008D4AE7">
            <w:pPr>
              <w:pStyle w:val="Text"/>
            </w:pPr>
            <w:r>
              <w:t xml:space="preserve">Telefon: +49 (0) 2645 131 – </w:t>
            </w:r>
            <w:r w:rsidR="00463D7D">
              <w:t>4510</w:t>
            </w:r>
          </w:p>
          <w:p w:rsidR="008D4AE7" w:rsidRDefault="008D4AE7" w:rsidP="008D4AE7">
            <w:pPr>
              <w:pStyle w:val="Text"/>
            </w:pPr>
            <w:r>
              <w:t>Telefax: +49 (0) 2645 131 – 499</w:t>
            </w:r>
          </w:p>
          <w:p w:rsidR="008D4AE7" w:rsidRDefault="00D24067" w:rsidP="008D4AE7">
            <w:pPr>
              <w:pStyle w:val="Text"/>
            </w:pPr>
            <w:r>
              <w:t>E-M</w:t>
            </w:r>
            <w:r w:rsidR="008D4AE7">
              <w:t>ail: 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F1E" w:rsidRDefault="00307F1E" w:rsidP="00E55534">
      <w:r>
        <w:separator/>
      </w:r>
    </w:p>
  </w:endnote>
  <w:endnote w:type="continuationSeparator" w:id="0">
    <w:p w:rsidR="00307F1E" w:rsidRDefault="00307F1E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10369D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<w:pict>
                <v:rect w14:anchorId="05918784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<w:pict>
                <v:rect w14:anchorId="0203B424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F1E" w:rsidRDefault="00307F1E" w:rsidP="00E55534">
      <w:r>
        <w:separator/>
      </w:r>
    </w:p>
  </w:footnote>
  <w:footnote w:type="continuationSeparator" w:id="0">
    <w:p w:rsidR="00307F1E" w:rsidRDefault="00307F1E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<w:pict>
                <v:rect w14:anchorId="1109AC44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<w:pict>
                <v:rect w14:anchorId="671E15BB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.3pt;height:1500.3pt" o:bullet="t">
        <v:imagedata r:id="rId1" o:title="AZ_04a"/>
      </v:shape>
    </w:pict>
  </w:numPicBullet>
  <w:numPicBullet w:numPicBulletId="1">
    <w:pict>
      <v:shape id="_x0000_i1030" type="#_x0000_t75" style="width:7.55pt;height:7.5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F1E"/>
    <w:rsid w:val="00042106"/>
    <w:rsid w:val="000454F7"/>
    <w:rsid w:val="0005285B"/>
    <w:rsid w:val="00066D09"/>
    <w:rsid w:val="0009665C"/>
    <w:rsid w:val="000A4BC0"/>
    <w:rsid w:val="000E2697"/>
    <w:rsid w:val="000E6F14"/>
    <w:rsid w:val="00103205"/>
    <w:rsid w:val="0010369D"/>
    <w:rsid w:val="0012026F"/>
    <w:rsid w:val="00132055"/>
    <w:rsid w:val="0014683F"/>
    <w:rsid w:val="001A11C7"/>
    <w:rsid w:val="001B16BB"/>
    <w:rsid w:val="00244981"/>
    <w:rsid w:val="00253A2E"/>
    <w:rsid w:val="002844EF"/>
    <w:rsid w:val="0028455E"/>
    <w:rsid w:val="0029634D"/>
    <w:rsid w:val="002B122A"/>
    <w:rsid w:val="002E765F"/>
    <w:rsid w:val="002F108B"/>
    <w:rsid w:val="00307F1E"/>
    <w:rsid w:val="0034191A"/>
    <w:rsid w:val="00343CC7"/>
    <w:rsid w:val="00384A08"/>
    <w:rsid w:val="00394992"/>
    <w:rsid w:val="003A753A"/>
    <w:rsid w:val="003E1CB6"/>
    <w:rsid w:val="003E3CF6"/>
    <w:rsid w:val="003E759F"/>
    <w:rsid w:val="00403373"/>
    <w:rsid w:val="00406C81"/>
    <w:rsid w:val="00412545"/>
    <w:rsid w:val="00415AA1"/>
    <w:rsid w:val="00430BB0"/>
    <w:rsid w:val="004428C1"/>
    <w:rsid w:val="0044506F"/>
    <w:rsid w:val="00463D7D"/>
    <w:rsid w:val="0047354E"/>
    <w:rsid w:val="00476F4D"/>
    <w:rsid w:val="004A13A7"/>
    <w:rsid w:val="004A31E2"/>
    <w:rsid w:val="004C26D6"/>
    <w:rsid w:val="004E40F1"/>
    <w:rsid w:val="004F70EF"/>
    <w:rsid w:val="00506409"/>
    <w:rsid w:val="00530E32"/>
    <w:rsid w:val="00535A1C"/>
    <w:rsid w:val="005711A3"/>
    <w:rsid w:val="00573B2B"/>
    <w:rsid w:val="005A4F04"/>
    <w:rsid w:val="005B2D6E"/>
    <w:rsid w:val="005B3697"/>
    <w:rsid w:val="005B5793"/>
    <w:rsid w:val="006330A2"/>
    <w:rsid w:val="00642EB6"/>
    <w:rsid w:val="006A22D0"/>
    <w:rsid w:val="006B73C9"/>
    <w:rsid w:val="006C7638"/>
    <w:rsid w:val="006F7602"/>
    <w:rsid w:val="00722A17"/>
    <w:rsid w:val="00756BD3"/>
    <w:rsid w:val="00757B83"/>
    <w:rsid w:val="007658CA"/>
    <w:rsid w:val="00791A69"/>
    <w:rsid w:val="00794830"/>
    <w:rsid w:val="007967DB"/>
    <w:rsid w:val="00797CAA"/>
    <w:rsid w:val="007B538D"/>
    <w:rsid w:val="007C2658"/>
    <w:rsid w:val="007C438B"/>
    <w:rsid w:val="007C6D62"/>
    <w:rsid w:val="007E20D0"/>
    <w:rsid w:val="00820315"/>
    <w:rsid w:val="00843B45"/>
    <w:rsid w:val="00847049"/>
    <w:rsid w:val="00863129"/>
    <w:rsid w:val="008C2DB2"/>
    <w:rsid w:val="008D4AE7"/>
    <w:rsid w:val="008D770E"/>
    <w:rsid w:val="0090337E"/>
    <w:rsid w:val="00953C4A"/>
    <w:rsid w:val="00960194"/>
    <w:rsid w:val="0096486C"/>
    <w:rsid w:val="009A7E90"/>
    <w:rsid w:val="009C2378"/>
    <w:rsid w:val="009D016F"/>
    <w:rsid w:val="009E251D"/>
    <w:rsid w:val="00A171F4"/>
    <w:rsid w:val="00A24EFC"/>
    <w:rsid w:val="00A45CE3"/>
    <w:rsid w:val="00A80677"/>
    <w:rsid w:val="00A9264C"/>
    <w:rsid w:val="00A9321E"/>
    <w:rsid w:val="00A977CE"/>
    <w:rsid w:val="00AD131F"/>
    <w:rsid w:val="00AE2001"/>
    <w:rsid w:val="00AE2ED8"/>
    <w:rsid w:val="00AF3B3A"/>
    <w:rsid w:val="00AF6569"/>
    <w:rsid w:val="00B06265"/>
    <w:rsid w:val="00B50FAD"/>
    <w:rsid w:val="00B5695F"/>
    <w:rsid w:val="00B57034"/>
    <w:rsid w:val="00B63089"/>
    <w:rsid w:val="00B90F78"/>
    <w:rsid w:val="00BD1058"/>
    <w:rsid w:val="00BF56B2"/>
    <w:rsid w:val="00BF6AF8"/>
    <w:rsid w:val="00C03396"/>
    <w:rsid w:val="00C1451A"/>
    <w:rsid w:val="00C457C3"/>
    <w:rsid w:val="00C644CA"/>
    <w:rsid w:val="00C73005"/>
    <w:rsid w:val="00CA005F"/>
    <w:rsid w:val="00CD0C6F"/>
    <w:rsid w:val="00CF36C9"/>
    <w:rsid w:val="00D166AC"/>
    <w:rsid w:val="00D24067"/>
    <w:rsid w:val="00D63C70"/>
    <w:rsid w:val="00D6440D"/>
    <w:rsid w:val="00E14608"/>
    <w:rsid w:val="00E21E67"/>
    <w:rsid w:val="00E24475"/>
    <w:rsid w:val="00E30EBF"/>
    <w:rsid w:val="00E52D70"/>
    <w:rsid w:val="00E55534"/>
    <w:rsid w:val="00E8133A"/>
    <w:rsid w:val="00E914D1"/>
    <w:rsid w:val="00EB0FED"/>
    <w:rsid w:val="00F20920"/>
    <w:rsid w:val="00F56318"/>
    <w:rsid w:val="00F64780"/>
    <w:rsid w:val="00F82525"/>
    <w:rsid w:val="00F97FEA"/>
    <w:rsid w:val="00FB62C5"/>
    <w:rsid w:val="00FD433D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7A8A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64780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64780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tif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schuelera\AppData\Roaming\Microsoft\Templates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6E209-2735-4029-A5F4-5FA11479D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</Template>
  <TotalTime>0</TotalTime>
  <Pages>4</Pages>
  <Words>836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6098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Richetti Stella</dc:creator>
  <cp:lastModifiedBy>Linnemann Mario</cp:lastModifiedBy>
  <cp:revision>38</cp:revision>
  <dcterms:created xsi:type="dcterms:W3CDTF">2018-08-09T06:50:00Z</dcterms:created>
  <dcterms:modified xsi:type="dcterms:W3CDTF">2018-08-24T09:43:00Z</dcterms:modified>
</cp:coreProperties>
</file>